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F45E4" w:rsidRPr="00CF45E4" w:rsidRDefault="00CF45E4" w:rsidP="00CF45E4">
      <w:pPr>
        <w:jc w:val="center"/>
        <w:rPr>
          <w:rFonts w:ascii="Century Gothic" w:hAnsi="Century Gothic" w:cs="Arial"/>
          <w:b/>
          <w:spacing w:val="-2"/>
          <w:sz w:val="40"/>
          <w:szCs w:val="40"/>
          <w:lang w:val="eu-ES"/>
        </w:rPr>
      </w:pPr>
      <w:r w:rsidRPr="00CF45E4">
        <w:rPr>
          <w:rFonts w:ascii="Century Gothic" w:hAnsi="Century Gothic" w:cs="Arial"/>
          <w:b/>
          <w:spacing w:val="-2"/>
          <w:sz w:val="40"/>
          <w:szCs w:val="40"/>
          <w:lang w:val="eu-ES"/>
        </w:rPr>
        <w:t>Gipuzkoako Foru Aldundiak irabazi asmorik gabeko gizarte erakundeentzako dirulaguntzen 2025eko deialdia ireki du, lurraldeko gizarte zerbitzuen arloan</w:t>
      </w:r>
    </w:p>
    <w:p w:rsidR="005204A9" w:rsidRPr="00CF45E4" w:rsidRDefault="005204A9" w:rsidP="005204A9">
      <w:pPr>
        <w:rPr>
          <w:rFonts w:ascii="Century Gothic" w:hAnsi="Century Gothic" w:cs="Arial"/>
          <w:b/>
          <w:spacing w:val="-2"/>
          <w:sz w:val="40"/>
          <w:szCs w:val="40"/>
          <w:lang w:val="eu-ES"/>
        </w:rPr>
      </w:pPr>
    </w:p>
    <w:p w:rsidR="00CF45E4" w:rsidRPr="00CF45E4" w:rsidRDefault="00CF45E4" w:rsidP="00CF45E4">
      <w:pPr>
        <w:jc w:val="center"/>
        <w:rPr>
          <w:rFonts w:ascii="Century Gothic" w:hAnsi="Century Gothic" w:cs="Arial"/>
          <w:sz w:val="24"/>
          <w:szCs w:val="24"/>
          <w:lang w:val="eu-ES"/>
        </w:rPr>
      </w:pPr>
      <w:r w:rsidRPr="00CF45E4">
        <w:rPr>
          <w:rFonts w:ascii="Century Gothic" w:hAnsi="Century Gothic" w:cs="Arial"/>
          <w:sz w:val="24"/>
          <w:szCs w:val="24"/>
          <w:lang w:val="eu-ES"/>
        </w:rPr>
        <w:t>• 1.669.384 euroko</w:t>
      </w:r>
      <w:r w:rsidRPr="00CF45E4">
        <w:rPr>
          <w:rFonts w:ascii="Century Gothic" w:hAnsi="Century Gothic" w:cs="Arial"/>
          <w:sz w:val="24"/>
          <w:szCs w:val="24"/>
          <w:lang w:val="eu-ES"/>
        </w:rPr>
        <w:t>a izango da</w:t>
      </w:r>
      <w:r w:rsidRPr="00CF45E4">
        <w:rPr>
          <w:rFonts w:ascii="Century Gothic" w:hAnsi="Century Gothic" w:cs="Arial"/>
          <w:sz w:val="24"/>
          <w:szCs w:val="24"/>
          <w:lang w:val="eu-ES"/>
        </w:rPr>
        <w:t xml:space="preserve"> dirulaguntza </w:t>
      </w:r>
      <w:r w:rsidRPr="00CF45E4">
        <w:rPr>
          <w:rFonts w:ascii="Century Gothic" w:hAnsi="Century Gothic" w:cs="Arial"/>
          <w:sz w:val="24"/>
          <w:szCs w:val="24"/>
          <w:lang w:val="eu-ES"/>
        </w:rPr>
        <w:t xml:space="preserve">eta </w:t>
      </w:r>
      <w:r w:rsidRPr="00CF45E4">
        <w:rPr>
          <w:rFonts w:ascii="Century Gothic" w:hAnsi="Century Gothic" w:cs="Arial"/>
          <w:sz w:val="24"/>
          <w:szCs w:val="24"/>
          <w:lang w:val="eu-ES"/>
        </w:rPr>
        <w:t xml:space="preserve"> helburua </w:t>
      </w:r>
      <w:r w:rsidRPr="00CF45E4">
        <w:rPr>
          <w:rFonts w:ascii="Century Gothic" w:hAnsi="Century Gothic" w:cs="Arial"/>
          <w:sz w:val="24"/>
          <w:szCs w:val="24"/>
          <w:lang w:val="eu-ES"/>
        </w:rPr>
        <w:t xml:space="preserve">da </w:t>
      </w:r>
      <w:r w:rsidRPr="00CF45E4">
        <w:rPr>
          <w:rFonts w:ascii="Century Gothic" w:hAnsi="Century Gothic" w:cs="Arial"/>
          <w:sz w:val="24"/>
          <w:szCs w:val="24"/>
          <w:lang w:val="eu-ES"/>
        </w:rPr>
        <w:t>esku-hartze, prebentzio, berrikuntza eta eraldaketa digitaleko programak sustatzea.</w:t>
      </w:r>
    </w:p>
    <w:p w:rsidR="005204A9" w:rsidRDefault="005204A9" w:rsidP="006A27E0">
      <w:pPr>
        <w:jc w:val="both"/>
        <w:rPr>
          <w:rFonts w:ascii="Century Gothic" w:hAnsi="Century Gothic" w:cs="Arial"/>
          <w:szCs w:val="22"/>
        </w:rPr>
      </w:pPr>
    </w:p>
    <w:p w:rsidR="00CF45E4" w:rsidRDefault="00CF45E4" w:rsidP="00CF45E4">
      <w:pPr>
        <w:jc w:val="both"/>
        <w:rPr>
          <w:rFonts w:ascii="Century Gothic" w:hAnsi="Century Gothic" w:cs="Arial"/>
          <w:szCs w:val="22"/>
          <w:lang w:val="eu-ES"/>
        </w:rPr>
      </w:pPr>
      <w:r w:rsidRPr="00CF45E4">
        <w:rPr>
          <w:rFonts w:ascii="Century Gothic" w:hAnsi="Century Gothic" w:cs="Arial"/>
          <w:szCs w:val="22"/>
          <w:lang w:val="eu-ES"/>
        </w:rPr>
        <w:t xml:space="preserve">Gipuzkoako Foru Aldundiak 2025. urteari dagokion deialdia ireki du, lurraldean gizarte-zerbitzuen arloan lan egiten duten irabazi-asmorik gabeko gizarte-ekimeneko erakundeei dirulaguntzak emateko. Laguntza horiek, Zaintza eta Gizarte Politiketako Sailak </w:t>
      </w:r>
      <w:r>
        <w:rPr>
          <w:rFonts w:ascii="Century Gothic" w:hAnsi="Century Gothic" w:cs="Arial"/>
          <w:szCs w:val="22"/>
          <w:lang w:val="eu-ES"/>
        </w:rPr>
        <w:t>ematen ditu</w:t>
      </w:r>
      <w:r w:rsidRPr="00CF45E4">
        <w:rPr>
          <w:rFonts w:ascii="Century Gothic" w:hAnsi="Century Gothic" w:cs="Arial"/>
          <w:szCs w:val="22"/>
          <w:lang w:val="eu-ES"/>
        </w:rPr>
        <w:t>, 1.669.384,00 euroko aurrekontua dute guztira, eta gizarte-erakundeek esku-hartze, prebentzio, berrikuntza eta modernizazioko hainbat arlotan egiten duten lana babestea dute helburu.</w:t>
      </w:r>
    </w:p>
    <w:p w:rsidR="00CF45E4" w:rsidRDefault="00CF45E4" w:rsidP="00CF45E4">
      <w:pPr>
        <w:jc w:val="both"/>
        <w:rPr>
          <w:rFonts w:ascii="Century Gothic" w:hAnsi="Century Gothic" w:cs="Arial"/>
          <w:szCs w:val="22"/>
          <w:lang w:val="eu-ES"/>
        </w:rPr>
      </w:pPr>
    </w:p>
    <w:p w:rsidR="00CF45E4" w:rsidRPr="00CF45E4" w:rsidRDefault="00CF45E4" w:rsidP="00CF45E4">
      <w:pPr>
        <w:jc w:val="both"/>
        <w:rPr>
          <w:rFonts w:ascii="Century Gothic" w:hAnsi="Century Gothic" w:cs="Arial"/>
          <w:szCs w:val="22"/>
          <w:lang w:val="eu-ES"/>
        </w:rPr>
      </w:pPr>
      <w:r w:rsidRPr="00CF45E4">
        <w:rPr>
          <w:rFonts w:ascii="Century Gothic" w:hAnsi="Century Gothic" w:cs="Arial"/>
          <w:szCs w:val="22"/>
          <w:lang w:val="eu-ES"/>
        </w:rPr>
        <w:t>Deialdiak lau laguntza-lerro aurreikusten ditu. Lehenengoa pertsonekin, familiekin, taldeekin eta komunitateekin esku-hartze sozialeko programak egiteko dirulaguntzak emateko da. Bigarren ildoa egoera eta arazo sozial jakin batzuen aurrean sentsibilizatzeko eta prebenitzeko programetara bideratuta dago. Hirugarren ildoa ikerketa eta berrikuntza</w:t>
      </w:r>
      <w:r>
        <w:rPr>
          <w:rFonts w:ascii="Century Gothic" w:hAnsi="Century Gothic" w:cs="Arial"/>
          <w:szCs w:val="22"/>
          <w:lang w:val="eu-ES"/>
        </w:rPr>
        <w:t xml:space="preserve"> </w:t>
      </w:r>
      <w:r w:rsidRPr="00CF45E4">
        <w:rPr>
          <w:rFonts w:ascii="Century Gothic" w:hAnsi="Century Gothic" w:cs="Arial"/>
          <w:szCs w:val="22"/>
          <w:lang w:val="eu-ES"/>
        </w:rPr>
        <w:t>proiektuetara bideratuta dago, sortzen ari diren gizarte-premiak eta gizarte-arretako modu berri</w:t>
      </w:r>
      <w:r>
        <w:rPr>
          <w:rFonts w:ascii="Century Gothic" w:hAnsi="Century Gothic" w:cs="Arial"/>
          <w:szCs w:val="22"/>
          <w:lang w:val="eu-ES"/>
        </w:rPr>
        <w:t>etara.</w:t>
      </w:r>
      <w:r w:rsidRPr="00CF45E4">
        <w:rPr>
          <w:rFonts w:ascii="Century Gothic" w:hAnsi="Century Gothic" w:cs="Arial"/>
          <w:szCs w:val="22"/>
          <w:lang w:val="eu-ES"/>
        </w:rPr>
        <w:t xml:space="preserve"> Azkenik, laugarren ildoak gizarte-erakundeen eraldaketa digitala eta modernizazio teknologikoa babestea du helburu.</w:t>
      </w:r>
    </w:p>
    <w:p w:rsidR="006A27E0" w:rsidRPr="00CF45E4" w:rsidRDefault="006A27E0" w:rsidP="006A27E0">
      <w:pPr>
        <w:jc w:val="both"/>
        <w:rPr>
          <w:rFonts w:ascii="Century Gothic" w:hAnsi="Century Gothic" w:cs="Arial"/>
          <w:szCs w:val="22"/>
          <w:lang w:val="eu-ES"/>
        </w:rPr>
      </w:pPr>
    </w:p>
    <w:p w:rsidR="00CF45E4" w:rsidRPr="00CF45E4" w:rsidRDefault="00CF45E4" w:rsidP="00CF45E4">
      <w:pPr>
        <w:jc w:val="both"/>
        <w:rPr>
          <w:rFonts w:ascii="Century Gothic" w:hAnsi="Century Gothic" w:cs="Arial"/>
          <w:szCs w:val="22"/>
          <w:lang w:val="eu-ES"/>
        </w:rPr>
      </w:pPr>
      <w:r w:rsidRPr="00CF45E4">
        <w:rPr>
          <w:rFonts w:ascii="Century Gothic" w:hAnsi="Century Gothic" w:cs="Arial"/>
          <w:szCs w:val="22"/>
          <w:lang w:val="eu-ES"/>
        </w:rPr>
        <w:t>Erakunde interesdunek telematikoki aurkeztu beharko dituzte eskabidea eta dokumentazio osagarria, nahitaez, Gipuzkoako Foru Aldundiaren egoitza elektronikoan dagoen dirulaguntzen atariaren bidez: https://egoitza.gipuzkoa.eus. Eskabideak aurkezteko epea 2025eko maiatzaren 30ean amaituko da.</w:t>
      </w:r>
    </w:p>
    <w:p w:rsidR="006A27E0" w:rsidRPr="006A27E0" w:rsidRDefault="006A27E0" w:rsidP="006A27E0">
      <w:pPr>
        <w:jc w:val="both"/>
        <w:rPr>
          <w:rFonts w:ascii="Century Gothic" w:hAnsi="Century Gothic" w:cs="Arial"/>
          <w:szCs w:val="22"/>
        </w:rPr>
      </w:pPr>
    </w:p>
    <w:p w:rsidR="006A27E0" w:rsidRPr="006A27E0" w:rsidRDefault="006A27E0" w:rsidP="006A27E0">
      <w:pPr>
        <w:jc w:val="both"/>
        <w:rPr>
          <w:rFonts w:ascii="Century Gothic" w:hAnsi="Century Gothic" w:cs="Arial"/>
          <w:szCs w:val="22"/>
        </w:rPr>
      </w:pPr>
    </w:p>
    <w:p w:rsidR="00FF63C9" w:rsidRPr="00CF45E4" w:rsidRDefault="00CF45E4" w:rsidP="00FF63C9">
      <w:pPr>
        <w:jc w:val="both"/>
        <w:rPr>
          <w:rFonts w:ascii="Century Gothic" w:hAnsi="Century Gothic" w:cs="Arial"/>
          <w:b/>
          <w:szCs w:val="22"/>
          <w:lang w:val="eu-ES"/>
        </w:rPr>
      </w:pPr>
      <w:r w:rsidRPr="00CF45E4">
        <w:rPr>
          <w:rFonts w:ascii="Century Gothic" w:hAnsi="Century Gothic" w:cs="Arial"/>
          <w:b/>
          <w:szCs w:val="22"/>
          <w:lang w:val="eu-ES"/>
        </w:rPr>
        <w:t>Gizarte erakundeekiko konpromisoa</w:t>
      </w:r>
    </w:p>
    <w:p w:rsidR="00CF45E4" w:rsidRPr="00CF45E4" w:rsidRDefault="00CF45E4" w:rsidP="00CF45E4">
      <w:pPr>
        <w:jc w:val="both"/>
        <w:rPr>
          <w:rFonts w:ascii="Century Gothic" w:hAnsi="Century Gothic" w:cs="Arial"/>
          <w:szCs w:val="22"/>
          <w:lang w:val="eu-ES"/>
        </w:rPr>
      </w:pPr>
      <w:r w:rsidRPr="00CF45E4">
        <w:rPr>
          <w:rFonts w:ascii="Century Gothic" w:hAnsi="Century Gothic" w:cs="Arial"/>
          <w:szCs w:val="22"/>
          <w:lang w:val="eu-ES"/>
        </w:rPr>
        <w:t xml:space="preserve">Maite Peñak, Gipuzkoako </w:t>
      </w:r>
      <w:r>
        <w:rPr>
          <w:rFonts w:ascii="Century Gothic" w:hAnsi="Century Gothic" w:cs="Arial"/>
          <w:szCs w:val="22"/>
          <w:lang w:val="eu-ES"/>
        </w:rPr>
        <w:t>Zainketa</w:t>
      </w:r>
      <w:r w:rsidRPr="00CF45E4">
        <w:rPr>
          <w:rFonts w:ascii="Century Gothic" w:hAnsi="Century Gothic" w:cs="Arial"/>
          <w:szCs w:val="22"/>
          <w:lang w:val="eu-ES"/>
        </w:rPr>
        <w:t xml:space="preserve"> eta Gizarte Politiketako diputatuak, lurraldean gizarte entitateek egiten duten funtsezko lana azpimarratu du: "irabazi asmorik gabeko gizarte entitateek funtsezko papera betetzen dute gizarte justuago eta kohesionatuago baten eraikuntzan. Eguneroko lana, konpromisoan, hurbiltasunean eta lankidetzan oinarritua, funtsezkoa da pertsona guztiek, bereziki ahulenek, behar duten babesa eta zaintza jasoko dutela bermatzeko. Gipuzkoako Foru Aldundiak biziki </w:t>
      </w:r>
      <w:proofErr w:type="gramStart"/>
      <w:r w:rsidRPr="00CF45E4">
        <w:rPr>
          <w:rFonts w:ascii="Century Gothic" w:hAnsi="Century Gothic" w:cs="Arial"/>
          <w:szCs w:val="22"/>
          <w:lang w:val="eu-ES"/>
        </w:rPr>
        <w:t>baloratzen</w:t>
      </w:r>
      <w:proofErr w:type="gramEnd"/>
      <w:r w:rsidRPr="00CF45E4">
        <w:rPr>
          <w:rFonts w:ascii="Century Gothic" w:hAnsi="Century Gothic" w:cs="Arial"/>
          <w:szCs w:val="22"/>
          <w:lang w:val="eu-ES"/>
        </w:rPr>
        <w:t xml:space="preserve"> du </w:t>
      </w:r>
      <w:r w:rsidR="002C6E19">
        <w:rPr>
          <w:rFonts w:ascii="Century Gothic" w:hAnsi="Century Gothic" w:cs="Arial"/>
          <w:szCs w:val="22"/>
          <w:lang w:val="eu-ES"/>
        </w:rPr>
        <w:t>hauen</w:t>
      </w:r>
      <w:r w:rsidRPr="00CF45E4">
        <w:rPr>
          <w:rFonts w:ascii="Century Gothic" w:hAnsi="Century Gothic" w:cs="Arial"/>
          <w:szCs w:val="22"/>
          <w:lang w:val="eu-ES"/>
        </w:rPr>
        <w:t xml:space="preserve"> lana, eta elkarlaneko gobernantza indartzearen alde egiten jarraitzen du, herritar guztientzako ongizate-eredu integral baterantz aurrera egitea ahalbidetuko duten baterako proiektuak bultzatuz. Dirulaguntza horiek konpromiso horren parte dira, eta erakundeei laguntzen diete gizarte-zerbitzuen esparruan funtsezko lana egiten jarrai dezaten ".</w:t>
      </w:r>
    </w:p>
    <w:p w:rsidR="00172FCE" w:rsidRPr="00FF63C9" w:rsidRDefault="00172FCE" w:rsidP="00FF63C9">
      <w:pPr>
        <w:jc w:val="both"/>
        <w:rPr>
          <w:rFonts w:ascii="Century Gothic" w:hAnsi="Century Gothic" w:cs="Arial"/>
          <w:b/>
          <w:szCs w:val="22"/>
        </w:rPr>
      </w:pPr>
    </w:p>
    <w:p w:rsidR="002C6E19" w:rsidRDefault="002C6E19" w:rsidP="001747A5">
      <w:pPr>
        <w:jc w:val="both"/>
        <w:rPr>
          <w:rFonts w:ascii="Century Gothic" w:hAnsi="Century Gothic" w:cs="Arial"/>
          <w:b/>
          <w:szCs w:val="22"/>
        </w:rPr>
      </w:pPr>
    </w:p>
    <w:p w:rsidR="002C6E19" w:rsidRDefault="002C6E19" w:rsidP="001747A5">
      <w:pPr>
        <w:jc w:val="both"/>
        <w:rPr>
          <w:rFonts w:ascii="Century Gothic" w:hAnsi="Century Gothic" w:cs="Arial"/>
          <w:b/>
          <w:szCs w:val="22"/>
        </w:rPr>
      </w:pPr>
    </w:p>
    <w:p w:rsidR="001747A5" w:rsidRPr="002C6E19" w:rsidRDefault="002C6E19" w:rsidP="001747A5">
      <w:pPr>
        <w:jc w:val="both"/>
        <w:rPr>
          <w:rFonts w:ascii="Century Gothic" w:hAnsi="Century Gothic" w:cs="Arial"/>
          <w:b/>
          <w:szCs w:val="22"/>
          <w:lang w:val="eu-ES"/>
        </w:rPr>
      </w:pPr>
      <w:r w:rsidRPr="002C6E19">
        <w:rPr>
          <w:rFonts w:ascii="Century Gothic" w:hAnsi="Century Gothic" w:cs="Arial"/>
          <w:b/>
          <w:szCs w:val="22"/>
          <w:lang w:val="eu-ES"/>
        </w:rPr>
        <w:lastRenderedPageBreak/>
        <w:t xml:space="preserve">321 programa eta </w:t>
      </w:r>
      <w:r w:rsidR="001747A5" w:rsidRPr="002C6E19">
        <w:rPr>
          <w:rFonts w:ascii="Century Gothic" w:hAnsi="Century Gothic" w:cs="Arial"/>
          <w:b/>
          <w:szCs w:val="22"/>
          <w:lang w:val="eu-ES"/>
        </w:rPr>
        <w:t>y 1.422.660 euro 2024</w:t>
      </w:r>
      <w:r w:rsidRPr="002C6E19">
        <w:rPr>
          <w:rFonts w:ascii="Century Gothic" w:hAnsi="Century Gothic" w:cs="Arial"/>
          <w:b/>
          <w:szCs w:val="22"/>
          <w:lang w:val="eu-ES"/>
        </w:rPr>
        <w:t>an</w:t>
      </w:r>
    </w:p>
    <w:p w:rsidR="002C6E19" w:rsidRPr="002C6E19" w:rsidRDefault="002C6E19" w:rsidP="002C6E19">
      <w:pPr>
        <w:jc w:val="both"/>
        <w:rPr>
          <w:rFonts w:ascii="Century Gothic" w:hAnsi="Century Gothic" w:cs="Arial"/>
          <w:szCs w:val="22"/>
          <w:lang w:val="eu-ES"/>
        </w:rPr>
      </w:pPr>
      <w:r w:rsidRPr="002C6E19">
        <w:rPr>
          <w:rFonts w:ascii="Century Gothic" w:hAnsi="Century Gothic" w:cs="Arial"/>
          <w:szCs w:val="22"/>
          <w:lang w:val="eu-ES"/>
        </w:rPr>
        <w:t>2024ko dirulaguntzen deialdian 258 elkartek 321 programetarako eskabideak</w:t>
      </w:r>
      <w:r>
        <w:rPr>
          <w:rFonts w:ascii="Century Gothic" w:hAnsi="Century Gothic" w:cs="Arial"/>
          <w:szCs w:val="22"/>
          <w:lang w:val="eu-ES"/>
        </w:rPr>
        <w:t xml:space="preserve"> </w:t>
      </w:r>
      <w:r w:rsidRPr="002C6E19">
        <w:rPr>
          <w:rFonts w:ascii="Century Gothic" w:hAnsi="Century Gothic" w:cs="Arial"/>
          <w:szCs w:val="22"/>
          <w:lang w:val="eu-ES"/>
        </w:rPr>
        <w:t>aurkeztu zituzten</w:t>
      </w:r>
      <w:r>
        <w:rPr>
          <w:rFonts w:ascii="Century Gothic" w:hAnsi="Century Gothic" w:cs="Arial"/>
          <w:szCs w:val="22"/>
          <w:lang w:val="eu-ES"/>
        </w:rPr>
        <w:t>,</w:t>
      </w:r>
      <w:r w:rsidRPr="002C6E19">
        <w:rPr>
          <w:rFonts w:ascii="Century Gothic" w:hAnsi="Century Gothic" w:cs="Arial"/>
          <w:szCs w:val="22"/>
          <w:lang w:val="eu-ES"/>
        </w:rPr>
        <w:t xml:space="preserve"> aipatutako lau </w:t>
      </w:r>
      <w:r>
        <w:rPr>
          <w:rFonts w:ascii="Century Gothic" w:hAnsi="Century Gothic" w:cs="Arial"/>
          <w:szCs w:val="22"/>
          <w:lang w:val="eu-ES"/>
        </w:rPr>
        <w:t>arloetara</w:t>
      </w:r>
      <w:r>
        <w:rPr>
          <w:rFonts w:ascii="Century Gothic" w:hAnsi="Century Gothic" w:cs="Arial"/>
          <w:szCs w:val="22"/>
          <w:lang w:val="eu-ES"/>
        </w:rPr>
        <w:t xml:space="preserve"> bideratuta</w:t>
      </w:r>
      <w:r w:rsidRPr="002C6E19">
        <w:rPr>
          <w:rFonts w:ascii="Century Gothic" w:hAnsi="Century Gothic" w:cs="Arial"/>
          <w:szCs w:val="22"/>
          <w:lang w:val="eu-ES"/>
        </w:rPr>
        <w:t>.</w:t>
      </w:r>
    </w:p>
    <w:p w:rsidR="002C6E19" w:rsidRPr="002C6E19" w:rsidRDefault="002C6E19" w:rsidP="002C6E19">
      <w:pPr>
        <w:jc w:val="both"/>
        <w:rPr>
          <w:rFonts w:ascii="Century Gothic" w:hAnsi="Century Gothic" w:cs="Arial"/>
          <w:szCs w:val="22"/>
          <w:lang w:val="eu-ES"/>
        </w:rPr>
      </w:pPr>
    </w:p>
    <w:p w:rsidR="002C6E19" w:rsidRPr="002C6E19" w:rsidRDefault="002C6E19" w:rsidP="002C6E19">
      <w:pPr>
        <w:jc w:val="both"/>
        <w:rPr>
          <w:rFonts w:ascii="Century Gothic" w:hAnsi="Century Gothic" w:cs="Arial"/>
          <w:szCs w:val="22"/>
          <w:lang w:val="eu-ES"/>
        </w:rPr>
      </w:pPr>
      <w:r w:rsidRPr="002C6E19">
        <w:rPr>
          <w:rFonts w:ascii="Century Gothic" w:hAnsi="Century Gothic" w:cs="Arial"/>
          <w:szCs w:val="22"/>
          <w:lang w:val="eu-ES"/>
        </w:rPr>
        <w:t xml:space="preserve">Esku-hartze sozialaren esparruan, pertsonei, familiei, taldeei eta komunitateei zuzenduta, </w:t>
      </w:r>
      <w:r>
        <w:rPr>
          <w:rFonts w:ascii="Century Gothic" w:hAnsi="Century Gothic" w:cs="Arial"/>
          <w:szCs w:val="22"/>
          <w:lang w:val="eu-ES"/>
        </w:rPr>
        <w:t>departamentuak</w:t>
      </w:r>
      <w:r w:rsidRPr="002C6E19">
        <w:rPr>
          <w:rFonts w:ascii="Century Gothic" w:hAnsi="Century Gothic" w:cs="Arial"/>
          <w:szCs w:val="22"/>
          <w:lang w:val="eu-ES"/>
        </w:rPr>
        <w:t xml:space="preserve"> 960.645,37 euro ordaindu zituen 182 programa finantzatzeko. Sentsibilizazioari eta prebentzioari dagokienez, gizarte-arazoei buruz kontzientziatzea </w:t>
      </w:r>
      <w:r>
        <w:rPr>
          <w:rFonts w:ascii="Century Gothic" w:hAnsi="Century Gothic" w:cs="Arial"/>
          <w:szCs w:val="22"/>
          <w:lang w:val="eu-ES"/>
        </w:rPr>
        <w:t>sortzeko</w:t>
      </w:r>
      <w:r w:rsidRPr="002C6E19">
        <w:rPr>
          <w:rFonts w:ascii="Century Gothic" w:hAnsi="Century Gothic" w:cs="Arial"/>
          <w:szCs w:val="22"/>
          <w:lang w:val="eu-ES"/>
        </w:rPr>
        <w:t xml:space="preserve"> 243.936 euro bideratu zituen</w:t>
      </w:r>
      <w:r>
        <w:rPr>
          <w:rFonts w:ascii="Century Gothic" w:hAnsi="Century Gothic" w:cs="Arial"/>
          <w:szCs w:val="22"/>
          <w:lang w:val="eu-ES"/>
        </w:rPr>
        <w:t xml:space="preserve"> departamentuak, </w:t>
      </w:r>
      <w:r w:rsidRPr="002C6E19">
        <w:rPr>
          <w:rFonts w:ascii="Century Gothic" w:hAnsi="Century Gothic" w:cs="Arial"/>
          <w:szCs w:val="22"/>
          <w:lang w:val="eu-ES"/>
        </w:rPr>
        <w:t xml:space="preserve">100 programa finantzatzeko. Ikerketa eta berrikuntza-ildoan, sortzen ari diren gizarte-premietan eta arreta-modu berrietan oinarrituta, </w:t>
      </w:r>
      <w:r>
        <w:rPr>
          <w:rFonts w:ascii="Century Gothic" w:hAnsi="Century Gothic" w:cs="Arial"/>
          <w:szCs w:val="22"/>
          <w:lang w:val="eu-ES"/>
        </w:rPr>
        <w:t>departamentuak</w:t>
      </w:r>
      <w:r w:rsidRPr="002C6E19">
        <w:rPr>
          <w:rFonts w:ascii="Century Gothic" w:hAnsi="Century Gothic" w:cs="Arial"/>
          <w:szCs w:val="22"/>
          <w:lang w:val="eu-ES"/>
        </w:rPr>
        <w:t xml:space="preserve"> 60.000 euro onartu zituen 13 programa finantzatzeko. Azkenik, eraldaketa digitaleko eta modernizazio teknologikoko lerroan, </w:t>
      </w:r>
      <w:r>
        <w:rPr>
          <w:rFonts w:ascii="Century Gothic" w:hAnsi="Century Gothic" w:cs="Arial"/>
          <w:szCs w:val="22"/>
          <w:lang w:val="eu-ES"/>
        </w:rPr>
        <w:t>departamentuak</w:t>
      </w:r>
      <w:bookmarkStart w:id="0" w:name="_GoBack"/>
      <w:bookmarkEnd w:id="0"/>
      <w:r w:rsidRPr="002C6E19">
        <w:rPr>
          <w:rFonts w:ascii="Century Gothic" w:hAnsi="Century Gothic" w:cs="Arial"/>
          <w:szCs w:val="22"/>
          <w:lang w:val="eu-ES"/>
        </w:rPr>
        <w:t xml:space="preserve"> 158.079 euro ordaindu zituen arlo horretako 56 programatarako.</w:t>
      </w:r>
    </w:p>
    <w:p w:rsidR="002C6E19" w:rsidRPr="002C6E19" w:rsidRDefault="002C6E19" w:rsidP="002C6E19">
      <w:pPr>
        <w:jc w:val="both"/>
        <w:rPr>
          <w:rFonts w:ascii="Century Gothic" w:hAnsi="Century Gothic" w:cs="Arial"/>
          <w:szCs w:val="22"/>
          <w:lang w:val="eu-ES"/>
        </w:rPr>
      </w:pPr>
    </w:p>
    <w:p w:rsidR="002C6E19" w:rsidRPr="002C6E19" w:rsidRDefault="002C6E19" w:rsidP="002C6E19">
      <w:pPr>
        <w:jc w:val="both"/>
        <w:rPr>
          <w:rFonts w:ascii="Century Gothic" w:hAnsi="Century Gothic" w:cs="Arial"/>
          <w:szCs w:val="22"/>
          <w:lang w:val="eu-ES"/>
        </w:rPr>
      </w:pPr>
      <w:r w:rsidRPr="002C6E19">
        <w:rPr>
          <w:rFonts w:ascii="Century Gothic" w:hAnsi="Century Gothic" w:cs="Arial"/>
          <w:szCs w:val="22"/>
          <w:lang w:val="eu-ES"/>
        </w:rPr>
        <w:t>Guztira, Gipuzkoako Foru Aldundiak 1.422.660 euro bideratu zituen dirulaguntza horietara iaz, komunitatearentzat garrantzitsuak diren arlo horietan lan egiten duten gizarte-erakundeen proiektuak babestuz.</w:t>
      </w:r>
    </w:p>
    <w:p w:rsidR="001747A5" w:rsidRPr="001747A5" w:rsidRDefault="001747A5" w:rsidP="001747A5">
      <w:pPr>
        <w:jc w:val="both"/>
        <w:rPr>
          <w:rFonts w:ascii="Century Gothic" w:hAnsi="Century Gothic" w:cs="Arial"/>
          <w:szCs w:val="22"/>
        </w:rPr>
      </w:pPr>
    </w:p>
    <w:p w:rsidR="006A27E0" w:rsidRPr="006A27E0" w:rsidRDefault="006A27E0" w:rsidP="006A27E0">
      <w:pPr>
        <w:jc w:val="both"/>
        <w:rPr>
          <w:rFonts w:ascii="Century Gothic" w:hAnsi="Century Gothic" w:cs="Arial"/>
          <w:szCs w:val="22"/>
        </w:rPr>
      </w:pPr>
    </w:p>
    <w:p w:rsidR="00AF0A72" w:rsidRDefault="00AF0A72" w:rsidP="006A27E0">
      <w:pPr>
        <w:jc w:val="both"/>
        <w:rPr>
          <w:rFonts w:ascii="Century Gothic" w:hAnsi="Century Gothic" w:cs="Arial"/>
          <w:szCs w:val="22"/>
        </w:rPr>
      </w:pPr>
    </w:p>
    <w:sectPr w:rsidR="00AF0A72" w:rsidSect="00864439">
      <w:headerReference w:type="default" r:id="rId8"/>
      <w:footerReference w:type="default" r:id="rId9"/>
      <w:pgSz w:w="11906" w:h="16838"/>
      <w:pgMar w:top="2410" w:right="1134" w:bottom="1560" w:left="1134" w:header="567" w:footer="567" w:gutter="0"/>
      <w:cols w:space="720"/>
      <w:formProt w:val="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03C96" w:rsidRDefault="00103C96">
      <w:r>
        <w:separator/>
      </w:r>
    </w:p>
  </w:endnote>
  <w:endnote w:type="continuationSeparator" w:id="0">
    <w:p w:rsidR="00103C96" w:rsidRDefault="00103C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Liberation Sans">
    <w:panose1 w:val="020B0604020202020204"/>
    <w:charset w:val="00"/>
    <w:family w:val="swiss"/>
    <w:pitch w:val="variable"/>
    <w:sig w:usb0="E0000AFF" w:usb1="500078FF" w:usb2="00000021" w:usb3="00000000" w:csb0="000001BF" w:csb1="00000000"/>
  </w:font>
  <w:font w:name="Noto Sans CJK SC">
    <w:panose1 w:val="00000000000000000000"/>
    <w:charset w:val="00"/>
    <w:family w:val="roman"/>
    <w:notTrueType/>
    <w:pitch w:val="default"/>
  </w:font>
  <w:font w:name="Lohit Devanagari">
    <w:altName w:val="Times New Roman"/>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00206" w:rsidRDefault="00103C96">
    <w:pPr>
      <w:pStyle w:val="Orri-oina"/>
      <w:jc w:val="center"/>
      <w:rPr>
        <w:rFonts w:ascii="Century Gothic" w:hAnsi="Century Gothic"/>
        <w:sz w:val="24"/>
        <w:szCs w:val="24"/>
        <w:lang w:val="eu-ES" w:eastAsia="eu-ES"/>
      </w:rPr>
    </w:pPr>
    <w:hyperlink r:id="rId1">
      <w:r w:rsidR="000E1462">
        <w:rPr>
          <w:rStyle w:val="Hiperesteka"/>
          <w:rFonts w:ascii="Century Gothic" w:hAnsi="Century Gothic"/>
          <w:sz w:val="24"/>
          <w:szCs w:val="24"/>
          <w:lang w:val="eu-ES" w:eastAsia="eu-ES"/>
        </w:rPr>
        <w:t>www.gipuzkoa.eus</w:t>
      </w:r>
    </w:hyperlink>
  </w:p>
  <w:p w:rsidR="00B00206" w:rsidRDefault="00B00206">
    <w:pPr>
      <w:pStyle w:val="Orri-oina"/>
      <w:jc w:val="center"/>
      <w:rPr>
        <w:rFonts w:ascii="Century Gothic" w:hAnsi="Century Gothic"/>
        <w:sz w:val="24"/>
        <w:szCs w:val="24"/>
        <w:lang w:val="eu-ES" w:eastAsia="eu-ES"/>
      </w:rPr>
    </w:pPr>
  </w:p>
  <w:p w:rsidR="00B00206" w:rsidRDefault="00B00206">
    <w:pPr>
      <w:pStyle w:val="Orri-oina"/>
      <w:jc w:val="center"/>
      <w:rPr>
        <w:rFonts w:ascii="Century Gothic" w:hAnsi="Century Gothic"/>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03C96" w:rsidRDefault="00103C96">
      <w:r>
        <w:separator/>
      </w:r>
    </w:p>
  </w:footnote>
  <w:footnote w:type="continuationSeparator" w:id="0">
    <w:p w:rsidR="00103C96" w:rsidRDefault="00103C9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97BB0" w:rsidRDefault="004142D4" w:rsidP="00A13361">
    <w:pPr>
      <w:pStyle w:val="Goiburua"/>
      <w:tabs>
        <w:tab w:val="clear" w:pos="4252"/>
        <w:tab w:val="clear" w:pos="8504"/>
        <w:tab w:val="center" w:pos="4820"/>
        <w:tab w:val="left" w:pos="6045"/>
      </w:tabs>
      <w:ind w:left="-426"/>
    </w:pPr>
    <w:r>
      <w:rPr>
        <w:noProof/>
      </w:rPr>
      <w:drawing>
        <wp:anchor distT="0" distB="0" distL="114300" distR="114300" simplePos="0" relativeHeight="251660288" behindDoc="1" locked="0" layoutInCell="1" allowOverlap="1">
          <wp:simplePos x="0" y="0"/>
          <wp:positionH relativeFrom="column">
            <wp:posOffset>-100965</wp:posOffset>
          </wp:positionH>
          <wp:positionV relativeFrom="paragraph">
            <wp:posOffset>1904</wp:posOffset>
          </wp:positionV>
          <wp:extent cx="2806408" cy="638175"/>
          <wp:effectExtent l="0" t="0" r="0" b="0"/>
          <wp:wrapNone/>
          <wp:docPr id="2" name="Irudia 2" descr="Logotip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rudia 2" descr="Logotipo&#10;&#10;Descripción generada automáticamente"/>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813427" cy="639771"/>
                  </a:xfrm>
                  <a:prstGeom prst="rect">
                    <a:avLst/>
                  </a:prstGeom>
                </pic:spPr>
              </pic:pic>
            </a:graphicData>
          </a:graphic>
          <wp14:sizeRelH relativeFrom="margin">
            <wp14:pctWidth>0</wp14:pctWidth>
          </wp14:sizeRelH>
          <wp14:sizeRelV relativeFrom="margin">
            <wp14:pctHeight>0</wp14:pctHeight>
          </wp14:sizeRelV>
        </wp:anchor>
      </w:drawing>
    </w:r>
    <w:r>
      <w:t xml:space="preserve"> </w:t>
    </w:r>
    <w:r w:rsidR="00DA19C9">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4347B7"/>
    <w:multiLevelType w:val="hybridMultilevel"/>
    <w:tmpl w:val="FA74E8B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0B8B01A2"/>
    <w:multiLevelType w:val="hybridMultilevel"/>
    <w:tmpl w:val="C3DEC0E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0CF25825"/>
    <w:multiLevelType w:val="hybridMultilevel"/>
    <w:tmpl w:val="9BD6E6E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127A0159"/>
    <w:multiLevelType w:val="multilevel"/>
    <w:tmpl w:val="D458F020"/>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4" w15:restartNumberingAfterBreak="0">
    <w:nsid w:val="160919B3"/>
    <w:multiLevelType w:val="hybridMultilevel"/>
    <w:tmpl w:val="18B67C1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18EE2345"/>
    <w:multiLevelType w:val="hybridMultilevel"/>
    <w:tmpl w:val="6966D3CA"/>
    <w:lvl w:ilvl="0" w:tplc="2E666248">
      <w:numFmt w:val="bullet"/>
      <w:lvlText w:val="-"/>
      <w:lvlJc w:val="left"/>
      <w:pPr>
        <w:ind w:left="720" w:hanging="360"/>
      </w:pPr>
      <w:rPr>
        <w:rFonts w:ascii="Century Gothic" w:eastAsia="Arial" w:hAnsi="Century Gothic"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1B2D4AF2"/>
    <w:multiLevelType w:val="hybridMultilevel"/>
    <w:tmpl w:val="D760FFC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25B13660"/>
    <w:multiLevelType w:val="hybridMultilevel"/>
    <w:tmpl w:val="80A8240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29E326C1"/>
    <w:multiLevelType w:val="hybridMultilevel"/>
    <w:tmpl w:val="C228299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36BF0A90"/>
    <w:multiLevelType w:val="hybridMultilevel"/>
    <w:tmpl w:val="EACE6EB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3E5D3252"/>
    <w:multiLevelType w:val="hybridMultilevel"/>
    <w:tmpl w:val="7FA433D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3F586641"/>
    <w:multiLevelType w:val="hybridMultilevel"/>
    <w:tmpl w:val="948C550C"/>
    <w:lvl w:ilvl="0" w:tplc="1B443FA2">
      <w:numFmt w:val="bullet"/>
      <w:lvlText w:val="-"/>
      <w:lvlJc w:val="left"/>
      <w:pPr>
        <w:ind w:left="720" w:hanging="360"/>
      </w:pPr>
      <w:rPr>
        <w:rFonts w:ascii="Century Gothic" w:eastAsia="Times New Roman" w:hAnsi="Century Gothic"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15:restartNumberingAfterBreak="0">
    <w:nsid w:val="41621C29"/>
    <w:multiLevelType w:val="hybridMultilevel"/>
    <w:tmpl w:val="3256866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13" w15:restartNumberingAfterBreak="0">
    <w:nsid w:val="4E141679"/>
    <w:multiLevelType w:val="hybridMultilevel"/>
    <w:tmpl w:val="88FE113C"/>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14" w15:restartNumberingAfterBreak="0">
    <w:nsid w:val="4E2539D9"/>
    <w:multiLevelType w:val="hybridMultilevel"/>
    <w:tmpl w:val="0A363B4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4E3C1DD8"/>
    <w:multiLevelType w:val="hybridMultilevel"/>
    <w:tmpl w:val="CBC601C0"/>
    <w:lvl w:ilvl="0" w:tplc="1AC44AB8">
      <w:numFmt w:val="bullet"/>
      <w:lvlText w:val="-"/>
      <w:lvlJc w:val="left"/>
      <w:pPr>
        <w:ind w:left="720" w:hanging="360"/>
      </w:pPr>
      <w:rPr>
        <w:rFonts w:ascii="Century Gothic" w:eastAsia="Times New Roman" w:hAnsi="Century Gothic"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15:restartNumberingAfterBreak="0">
    <w:nsid w:val="50C26557"/>
    <w:multiLevelType w:val="hybridMultilevel"/>
    <w:tmpl w:val="50C03CB4"/>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17" w15:restartNumberingAfterBreak="0">
    <w:nsid w:val="5FA05851"/>
    <w:multiLevelType w:val="hybridMultilevel"/>
    <w:tmpl w:val="1A50DD7A"/>
    <w:lvl w:ilvl="0" w:tplc="E78A5D50">
      <w:numFmt w:val="bullet"/>
      <w:lvlText w:val="-"/>
      <w:lvlJc w:val="left"/>
      <w:pPr>
        <w:ind w:left="720" w:hanging="360"/>
      </w:pPr>
      <w:rPr>
        <w:rFonts w:ascii="Century Gothic" w:eastAsia="Times New Roman" w:hAnsi="Century Gothic"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628A21EA"/>
    <w:multiLevelType w:val="hybridMultilevel"/>
    <w:tmpl w:val="93BE763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9" w15:restartNumberingAfterBreak="0">
    <w:nsid w:val="72C95D70"/>
    <w:multiLevelType w:val="hybridMultilevel"/>
    <w:tmpl w:val="057A52A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0" w15:restartNumberingAfterBreak="0">
    <w:nsid w:val="75A33F4C"/>
    <w:multiLevelType w:val="hybridMultilevel"/>
    <w:tmpl w:val="E12AB0B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1" w15:restartNumberingAfterBreak="0">
    <w:nsid w:val="77EA2944"/>
    <w:multiLevelType w:val="hybridMultilevel"/>
    <w:tmpl w:val="7BE68C9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2" w15:restartNumberingAfterBreak="0">
    <w:nsid w:val="79EE7716"/>
    <w:multiLevelType w:val="hybridMultilevel"/>
    <w:tmpl w:val="C642889C"/>
    <w:lvl w:ilvl="0" w:tplc="0C0A0001">
      <w:start w:val="1"/>
      <w:numFmt w:val="bullet"/>
      <w:lvlText w:val=""/>
      <w:lvlJc w:val="left"/>
      <w:pPr>
        <w:ind w:left="2160" w:hanging="360"/>
      </w:pPr>
      <w:rPr>
        <w:rFonts w:ascii="Symbol" w:hAnsi="Symbol" w:hint="default"/>
      </w:rPr>
    </w:lvl>
    <w:lvl w:ilvl="1" w:tplc="0C0A0003" w:tentative="1">
      <w:start w:val="1"/>
      <w:numFmt w:val="bullet"/>
      <w:lvlText w:val="o"/>
      <w:lvlJc w:val="left"/>
      <w:pPr>
        <w:ind w:left="2880" w:hanging="360"/>
      </w:pPr>
      <w:rPr>
        <w:rFonts w:ascii="Courier New" w:hAnsi="Courier New" w:cs="Courier New" w:hint="default"/>
      </w:rPr>
    </w:lvl>
    <w:lvl w:ilvl="2" w:tplc="0C0A0005" w:tentative="1">
      <w:start w:val="1"/>
      <w:numFmt w:val="bullet"/>
      <w:lvlText w:val=""/>
      <w:lvlJc w:val="left"/>
      <w:pPr>
        <w:ind w:left="3600" w:hanging="360"/>
      </w:pPr>
      <w:rPr>
        <w:rFonts w:ascii="Wingdings" w:hAnsi="Wingdings" w:hint="default"/>
      </w:rPr>
    </w:lvl>
    <w:lvl w:ilvl="3" w:tplc="0C0A0001" w:tentative="1">
      <w:start w:val="1"/>
      <w:numFmt w:val="bullet"/>
      <w:lvlText w:val=""/>
      <w:lvlJc w:val="left"/>
      <w:pPr>
        <w:ind w:left="4320" w:hanging="360"/>
      </w:pPr>
      <w:rPr>
        <w:rFonts w:ascii="Symbol" w:hAnsi="Symbol" w:hint="default"/>
      </w:rPr>
    </w:lvl>
    <w:lvl w:ilvl="4" w:tplc="0C0A0003" w:tentative="1">
      <w:start w:val="1"/>
      <w:numFmt w:val="bullet"/>
      <w:lvlText w:val="o"/>
      <w:lvlJc w:val="left"/>
      <w:pPr>
        <w:ind w:left="5040" w:hanging="360"/>
      </w:pPr>
      <w:rPr>
        <w:rFonts w:ascii="Courier New" w:hAnsi="Courier New" w:cs="Courier New" w:hint="default"/>
      </w:rPr>
    </w:lvl>
    <w:lvl w:ilvl="5" w:tplc="0C0A0005" w:tentative="1">
      <w:start w:val="1"/>
      <w:numFmt w:val="bullet"/>
      <w:lvlText w:val=""/>
      <w:lvlJc w:val="left"/>
      <w:pPr>
        <w:ind w:left="5760" w:hanging="360"/>
      </w:pPr>
      <w:rPr>
        <w:rFonts w:ascii="Wingdings" w:hAnsi="Wingdings" w:hint="default"/>
      </w:rPr>
    </w:lvl>
    <w:lvl w:ilvl="6" w:tplc="0C0A0001" w:tentative="1">
      <w:start w:val="1"/>
      <w:numFmt w:val="bullet"/>
      <w:lvlText w:val=""/>
      <w:lvlJc w:val="left"/>
      <w:pPr>
        <w:ind w:left="6480" w:hanging="360"/>
      </w:pPr>
      <w:rPr>
        <w:rFonts w:ascii="Symbol" w:hAnsi="Symbol" w:hint="default"/>
      </w:rPr>
    </w:lvl>
    <w:lvl w:ilvl="7" w:tplc="0C0A0003" w:tentative="1">
      <w:start w:val="1"/>
      <w:numFmt w:val="bullet"/>
      <w:lvlText w:val="o"/>
      <w:lvlJc w:val="left"/>
      <w:pPr>
        <w:ind w:left="7200" w:hanging="360"/>
      </w:pPr>
      <w:rPr>
        <w:rFonts w:ascii="Courier New" w:hAnsi="Courier New" w:cs="Courier New" w:hint="default"/>
      </w:rPr>
    </w:lvl>
    <w:lvl w:ilvl="8" w:tplc="0C0A0005" w:tentative="1">
      <w:start w:val="1"/>
      <w:numFmt w:val="bullet"/>
      <w:lvlText w:val=""/>
      <w:lvlJc w:val="left"/>
      <w:pPr>
        <w:ind w:left="7920" w:hanging="360"/>
      </w:pPr>
      <w:rPr>
        <w:rFonts w:ascii="Wingdings" w:hAnsi="Wingdings" w:hint="default"/>
      </w:rPr>
    </w:lvl>
  </w:abstractNum>
  <w:abstractNum w:abstractNumId="23" w15:restartNumberingAfterBreak="0">
    <w:nsid w:val="7A7A5AC4"/>
    <w:multiLevelType w:val="multilevel"/>
    <w:tmpl w:val="AD6C8B08"/>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abstractNumId w:val="23"/>
  </w:num>
  <w:num w:numId="2">
    <w:abstractNumId w:val="3"/>
  </w:num>
  <w:num w:numId="3">
    <w:abstractNumId w:val="19"/>
  </w:num>
  <w:num w:numId="4">
    <w:abstractNumId w:val="17"/>
  </w:num>
  <w:num w:numId="5">
    <w:abstractNumId w:val="14"/>
  </w:num>
  <w:num w:numId="6">
    <w:abstractNumId w:val="11"/>
  </w:num>
  <w:num w:numId="7">
    <w:abstractNumId w:val="5"/>
  </w:num>
  <w:num w:numId="8">
    <w:abstractNumId w:val="15"/>
  </w:num>
  <w:num w:numId="9">
    <w:abstractNumId w:val="6"/>
  </w:num>
  <w:num w:numId="10">
    <w:abstractNumId w:val="0"/>
  </w:num>
  <w:num w:numId="11">
    <w:abstractNumId w:val="2"/>
  </w:num>
  <w:num w:numId="12">
    <w:abstractNumId w:val="1"/>
  </w:num>
  <w:num w:numId="13">
    <w:abstractNumId w:val="20"/>
  </w:num>
  <w:num w:numId="14">
    <w:abstractNumId w:val="7"/>
  </w:num>
  <w:num w:numId="15">
    <w:abstractNumId w:val="4"/>
  </w:num>
  <w:num w:numId="16">
    <w:abstractNumId w:val="9"/>
  </w:num>
  <w:num w:numId="17">
    <w:abstractNumId w:val="8"/>
  </w:num>
  <w:num w:numId="18">
    <w:abstractNumId w:val="12"/>
  </w:num>
  <w:num w:numId="19">
    <w:abstractNumId w:val="16"/>
  </w:num>
  <w:num w:numId="20">
    <w:abstractNumId w:val="10"/>
  </w:num>
  <w:num w:numId="21">
    <w:abstractNumId w:val="13"/>
  </w:num>
  <w:num w:numId="22">
    <w:abstractNumId w:val="22"/>
  </w:num>
  <w:num w:numId="23">
    <w:abstractNumId w:val="21"/>
  </w:num>
  <w:num w:numId="24">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0206"/>
    <w:rsid w:val="00006801"/>
    <w:rsid w:val="00010013"/>
    <w:rsid w:val="000150B2"/>
    <w:rsid w:val="00024BB6"/>
    <w:rsid w:val="0005135E"/>
    <w:rsid w:val="00064870"/>
    <w:rsid w:val="00065540"/>
    <w:rsid w:val="00076E93"/>
    <w:rsid w:val="00090DF3"/>
    <w:rsid w:val="000923F3"/>
    <w:rsid w:val="000965A4"/>
    <w:rsid w:val="000A0FEC"/>
    <w:rsid w:val="000C0702"/>
    <w:rsid w:val="000D1F89"/>
    <w:rsid w:val="000D4157"/>
    <w:rsid w:val="000E1462"/>
    <w:rsid w:val="000F35EF"/>
    <w:rsid w:val="00103AA8"/>
    <w:rsid w:val="00103C96"/>
    <w:rsid w:val="00105F20"/>
    <w:rsid w:val="00124FC6"/>
    <w:rsid w:val="00132D3F"/>
    <w:rsid w:val="00153B31"/>
    <w:rsid w:val="00172FCE"/>
    <w:rsid w:val="001747A5"/>
    <w:rsid w:val="00194672"/>
    <w:rsid w:val="0019534D"/>
    <w:rsid w:val="001B6138"/>
    <w:rsid w:val="001B78A1"/>
    <w:rsid w:val="001D119B"/>
    <w:rsid w:val="001E6F18"/>
    <w:rsid w:val="002069BC"/>
    <w:rsid w:val="00210C0D"/>
    <w:rsid w:val="00225871"/>
    <w:rsid w:val="002268B0"/>
    <w:rsid w:val="0023497E"/>
    <w:rsid w:val="002405D5"/>
    <w:rsid w:val="00262995"/>
    <w:rsid w:val="00274A51"/>
    <w:rsid w:val="00282DB0"/>
    <w:rsid w:val="00283DD5"/>
    <w:rsid w:val="00292327"/>
    <w:rsid w:val="00296C33"/>
    <w:rsid w:val="002A3B6F"/>
    <w:rsid w:val="002B0CB2"/>
    <w:rsid w:val="002C6E19"/>
    <w:rsid w:val="002D277C"/>
    <w:rsid w:val="003006B1"/>
    <w:rsid w:val="003155D1"/>
    <w:rsid w:val="00316291"/>
    <w:rsid w:val="00327C99"/>
    <w:rsid w:val="00351C3B"/>
    <w:rsid w:val="00353CED"/>
    <w:rsid w:val="00356B16"/>
    <w:rsid w:val="00360C38"/>
    <w:rsid w:val="00362EFE"/>
    <w:rsid w:val="00370529"/>
    <w:rsid w:val="00377D70"/>
    <w:rsid w:val="003E699E"/>
    <w:rsid w:val="003F3073"/>
    <w:rsid w:val="004142D4"/>
    <w:rsid w:val="004345A8"/>
    <w:rsid w:val="00444902"/>
    <w:rsid w:val="004667A8"/>
    <w:rsid w:val="00475DC7"/>
    <w:rsid w:val="00483877"/>
    <w:rsid w:val="004863FA"/>
    <w:rsid w:val="004872DB"/>
    <w:rsid w:val="004D59EE"/>
    <w:rsid w:val="004E27AC"/>
    <w:rsid w:val="00516145"/>
    <w:rsid w:val="0051622C"/>
    <w:rsid w:val="00516918"/>
    <w:rsid w:val="005204A9"/>
    <w:rsid w:val="005417F9"/>
    <w:rsid w:val="00553959"/>
    <w:rsid w:val="00555E91"/>
    <w:rsid w:val="00565CD1"/>
    <w:rsid w:val="0057530D"/>
    <w:rsid w:val="00575855"/>
    <w:rsid w:val="005816EC"/>
    <w:rsid w:val="00585178"/>
    <w:rsid w:val="00596ECD"/>
    <w:rsid w:val="00597B35"/>
    <w:rsid w:val="005A5DD8"/>
    <w:rsid w:val="005B45E7"/>
    <w:rsid w:val="005B6C2D"/>
    <w:rsid w:val="005C5DD5"/>
    <w:rsid w:val="005D3B34"/>
    <w:rsid w:val="00607559"/>
    <w:rsid w:val="00611D8F"/>
    <w:rsid w:val="00614890"/>
    <w:rsid w:val="00616BAF"/>
    <w:rsid w:val="006215C7"/>
    <w:rsid w:val="00622FDE"/>
    <w:rsid w:val="00641FBE"/>
    <w:rsid w:val="006432E0"/>
    <w:rsid w:val="0066500A"/>
    <w:rsid w:val="00687796"/>
    <w:rsid w:val="00691470"/>
    <w:rsid w:val="00695F11"/>
    <w:rsid w:val="006A0E71"/>
    <w:rsid w:val="006A27E0"/>
    <w:rsid w:val="006A6739"/>
    <w:rsid w:val="006A67E1"/>
    <w:rsid w:val="006A7554"/>
    <w:rsid w:val="006B7997"/>
    <w:rsid w:val="006C5719"/>
    <w:rsid w:val="006D205D"/>
    <w:rsid w:val="006D29A2"/>
    <w:rsid w:val="006E18FF"/>
    <w:rsid w:val="00704183"/>
    <w:rsid w:val="00705953"/>
    <w:rsid w:val="00706F8B"/>
    <w:rsid w:val="0070754A"/>
    <w:rsid w:val="0071143A"/>
    <w:rsid w:val="007131F5"/>
    <w:rsid w:val="00731B69"/>
    <w:rsid w:val="007411AB"/>
    <w:rsid w:val="007442D8"/>
    <w:rsid w:val="007A38E6"/>
    <w:rsid w:val="007D695B"/>
    <w:rsid w:val="007F517F"/>
    <w:rsid w:val="00805215"/>
    <w:rsid w:val="0082675B"/>
    <w:rsid w:val="008353C5"/>
    <w:rsid w:val="00861E35"/>
    <w:rsid w:val="00864439"/>
    <w:rsid w:val="008859BC"/>
    <w:rsid w:val="008A37A0"/>
    <w:rsid w:val="008D155C"/>
    <w:rsid w:val="008E457F"/>
    <w:rsid w:val="008E4F6B"/>
    <w:rsid w:val="0091014E"/>
    <w:rsid w:val="00927BA5"/>
    <w:rsid w:val="00945D63"/>
    <w:rsid w:val="0095413C"/>
    <w:rsid w:val="009573BF"/>
    <w:rsid w:val="00976CF5"/>
    <w:rsid w:val="009934D7"/>
    <w:rsid w:val="009C49DA"/>
    <w:rsid w:val="009D44D9"/>
    <w:rsid w:val="009E4E06"/>
    <w:rsid w:val="00A070CB"/>
    <w:rsid w:val="00A13361"/>
    <w:rsid w:val="00A4735E"/>
    <w:rsid w:val="00A647B9"/>
    <w:rsid w:val="00A66015"/>
    <w:rsid w:val="00A83574"/>
    <w:rsid w:val="00A867CA"/>
    <w:rsid w:val="00A94E58"/>
    <w:rsid w:val="00A9572F"/>
    <w:rsid w:val="00AB7709"/>
    <w:rsid w:val="00AC781F"/>
    <w:rsid w:val="00AD1090"/>
    <w:rsid w:val="00AD4417"/>
    <w:rsid w:val="00AE1E11"/>
    <w:rsid w:val="00AF0A72"/>
    <w:rsid w:val="00AF2EA9"/>
    <w:rsid w:val="00AF67CE"/>
    <w:rsid w:val="00B00206"/>
    <w:rsid w:val="00B07FA5"/>
    <w:rsid w:val="00B144DA"/>
    <w:rsid w:val="00B219CF"/>
    <w:rsid w:val="00B22785"/>
    <w:rsid w:val="00B4203F"/>
    <w:rsid w:val="00B55436"/>
    <w:rsid w:val="00B61F23"/>
    <w:rsid w:val="00B752E7"/>
    <w:rsid w:val="00B81842"/>
    <w:rsid w:val="00B95148"/>
    <w:rsid w:val="00BB040F"/>
    <w:rsid w:val="00BB566C"/>
    <w:rsid w:val="00BB7BCC"/>
    <w:rsid w:val="00BE589F"/>
    <w:rsid w:val="00C02930"/>
    <w:rsid w:val="00C14290"/>
    <w:rsid w:val="00C37B4B"/>
    <w:rsid w:val="00C55320"/>
    <w:rsid w:val="00C703AD"/>
    <w:rsid w:val="00C80440"/>
    <w:rsid w:val="00CF45E4"/>
    <w:rsid w:val="00D133D4"/>
    <w:rsid w:val="00D13B47"/>
    <w:rsid w:val="00D17562"/>
    <w:rsid w:val="00D2288E"/>
    <w:rsid w:val="00D24C26"/>
    <w:rsid w:val="00D367FA"/>
    <w:rsid w:val="00D62D6C"/>
    <w:rsid w:val="00D7149F"/>
    <w:rsid w:val="00D97BB0"/>
    <w:rsid w:val="00DA19C9"/>
    <w:rsid w:val="00DA55A6"/>
    <w:rsid w:val="00DB6F7D"/>
    <w:rsid w:val="00DD291B"/>
    <w:rsid w:val="00DD4105"/>
    <w:rsid w:val="00DD5879"/>
    <w:rsid w:val="00DE6793"/>
    <w:rsid w:val="00DF0FA3"/>
    <w:rsid w:val="00DF581E"/>
    <w:rsid w:val="00E107C3"/>
    <w:rsid w:val="00E135A5"/>
    <w:rsid w:val="00E13D31"/>
    <w:rsid w:val="00E40AFE"/>
    <w:rsid w:val="00E6181B"/>
    <w:rsid w:val="00E72B1F"/>
    <w:rsid w:val="00E9285B"/>
    <w:rsid w:val="00E968DD"/>
    <w:rsid w:val="00EC267F"/>
    <w:rsid w:val="00ED1014"/>
    <w:rsid w:val="00ED689F"/>
    <w:rsid w:val="00EE1CF7"/>
    <w:rsid w:val="00EF4B91"/>
    <w:rsid w:val="00EF4F87"/>
    <w:rsid w:val="00F16C51"/>
    <w:rsid w:val="00F173A6"/>
    <w:rsid w:val="00F209AB"/>
    <w:rsid w:val="00F212C3"/>
    <w:rsid w:val="00F251BF"/>
    <w:rsid w:val="00F30D4D"/>
    <w:rsid w:val="00F72467"/>
    <w:rsid w:val="00F843C1"/>
    <w:rsid w:val="00FC7BB1"/>
    <w:rsid w:val="00FD26A0"/>
    <w:rsid w:val="00FE578C"/>
    <w:rsid w:val="00FF4A90"/>
    <w:rsid w:val="00FF63C9"/>
  </w:rsids>
  <m:mathPr>
    <m:mathFont m:val="Cambria Math"/>
    <m:brkBin m:val="before"/>
    <m:brkBinSub m:val="--"/>
    <m:smallFrac m:val="0"/>
    <m:dispDef/>
    <m:lMargin m:val="0"/>
    <m:rMargin m:val="0"/>
    <m:defJc m:val="centerGroup"/>
    <m:wrapIndent m:val="1440"/>
    <m:intLim m:val="subSup"/>
    <m:naryLim m:val="undOvr"/>
  </m:mathPr>
  <w:themeFontLang w:val="es-ES" w:eastAsia="" w:bid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B49BEBC"/>
  <w15:docId w15:val="{2CCF36D8-4E3B-4384-94C1-528D4E2D24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bn-IN"/>
      </w:rPr>
    </w:rPrDefault>
    <w:pPrDefault>
      <w:pPr>
        <w:suppressAutoHyphens/>
      </w:pPr>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a">
    <w:name w:val="Normal"/>
    <w:qFormat/>
    <w:rsid w:val="005002BA"/>
    <w:rPr>
      <w:rFonts w:ascii="Arial" w:hAnsi="Arial"/>
      <w:sz w:val="22"/>
      <w:lang w:bidi="ar-SA"/>
    </w:rPr>
  </w:style>
  <w:style w:type="paragraph" w:styleId="1izenburua">
    <w:name w:val="heading 1"/>
    <w:basedOn w:val="Normala"/>
    <w:next w:val="Normala"/>
    <w:qFormat/>
    <w:rsid w:val="003F1393"/>
    <w:pPr>
      <w:keepNext/>
      <w:outlineLvl w:val="0"/>
    </w:pPr>
    <w:rPr>
      <w:b/>
      <w:sz w:val="32"/>
      <w:lang w:val="eu-ES"/>
    </w:rPr>
  </w:style>
  <w:style w:type="paragraph" w:styleId="2izenburua">
    <w:name w:val="heading 2"/>
    <w:basedOn w:val="Normala"/>
    <w:next w:val="Normala"/>
    <w:qFormat/>
    <w:rsid w:val="003F1393"/>
    <w:pPr>
      <w:keepNext/>
      <w:spacing w:before="240" w:after="60"/>
      <w:outlineLvl w:val="1"/>
    </w:pPr>
    <w:rPr>
      <w:rFonts w:cs="Arial"/>
      <w:b/>
      <w:bCs/>
      <w:iCs/>
      <w:sz w:val="28"/>
      <w:szCs w:val="28"/>
    </w:rPr>
  </w:style>
  <w:style w:type="paragraph" w:styleId="3izenburua">
    <w:name w:val="heading 3"/>
    <w:basedOn w:val="Normala"/>
    <w:next w:val="Normala"/>
    <w:qFormat/>
    <w:rsid w:val="003F1393"/>
    <w:pPr>
      <w:keepNext/>
      <w:spacing w:before="240" w:after="60"/>
      <w:outlineLvl w:val="2"/>
    </w:pPr>
    <w:rPr>
      <w:rFonts w:cs="Arial"/>
      <w:b/>
      <w:bCs/>
      <w:sz w:val="24"/>
      <w:szCs w:val="26"/>
    </w:rPr>
  </w:style>
  <w:style w:type="character" w:default="1" w:styleId="Paragrafoarenletra-tipolehenetsia">
    <w:name w:val="Default Paragraph Font"/>
    <w:uiPriority w:val="1"/>
    <w:semiHidden/>
    <w:unhideWhenUsed/>
  </w:style>
  <w:style w:type="table" w:default="1" w:styleId="Taulanormala">
    <w:name w:val="Normal Table"/>
    <w:uiPriority w:val="99"/>
    <w:semiHidden/>
    <w:unhideWhenUsed/>
    <w:tblPr>
      <w:tblInd w:w="0" w:type="dxa"/>
      <w:tblCellMar>
        <w:top w:w="0" w:type="dxa"/>
        <w:left w:w="108" w:type="dxa"/>
        <w:bottom w:w="0" w:type="dxa"/>
        <w:right w:w="108" w:type="dxa"/>
      </w:tblCellMar>
    </w:tblPr>
  </w:style>
  <w:style w:type="numbering" w:default="1" w:styleId="Zerrendarikez">
    <w:name w:val="No List"/>
    <w:uiPriority w:val="99"/>
    <w:semiHidden/>
    <w:unhideWhenUsed/>
  </w:style>
  <w:style w:type="character" w:styleId="Hiperesteka">
    <w:name w:val="Hyperlink"/>
    <w:basedOn w:val="Paragrafoarenletra-tipolehenetsia"/>
    <w:rsid w:val="008F56F9"/>
    <w:rPr>
      <w:color w:val="0563C1" w:themeColor="hyperlink"/>
      <w:u w:val="single"/>
    </w:rPr>
  </w:style>
  <w:style w:type="character" w:styleId="Iruzkinarenerreferentzia">
    <w:name w:val="annotation reference"/>
    <w:basedOn w:val="Paragrafoarenletra-tipolehenetsia"/>
    <w:semiHidden/>
    <w:unhideWhenUsed/>
    <w:qFormat/>
    <w:rsid w:val="00C568EB"/>
    <w:rPr>
      <w:sz w:val="16"/>
      <w:szCs w:val="16"/>
    </w:rPr>
  </w:style>
  <w:style w:type="character" w:customStyle="1" w:styleId="IruzkinarentestuaKar">
    <w:name w:val="Iruzkinaren testua Kar"/>
    <w:basedOn w:val="Paragrafoarenletra-tipolehenetsia"/>
    <w:link w:val="Iruzkinarentestua"/>
    <w:qFormat/>
    <w:rsid w:val="00C568EB"/>
    <w:rPr>
      <w:rFonts w:ascii="Arial" w:hAnsi="Arial"/>
      <w:lang w:bidi="ar-SA"/>
    </w:rPr>
  </w:style>
  <w:style w:type="character" w:customStyle="1" w:styleId="IruzkinarengaiaKar">
    <w:name w:val="Iruzkinaren gaia Kar"/>
    <w:basedOn w:val="IruzkinarentestuaKar"/>
    <w:link w:val="Iruzkinarengaia"/>
    <w:semiHidden/>
    <w:qFormat/>
    <w:rsid w:val="00C568EB"/>
    <w:rPr>
      <w:rFonts w:ascii="Arial" w:hAnsi="Arial"/>
      <w:b/>
      <w:bCs/>
      <w:lang w:bidi="ar-SA"/>
    </w:rPr>
  </w:style>
  <w:style w:type="character" w:customStyle="1" w:styleId="AldezaurretikoHTMLformatuaKar">
    <w:name w:val="Aldez aurretiko HTML formatua Kar"/>
    <w:basedOn w:val="Paragrafoarenletra-tipolehenetsia"/>
    <w:link w:val="AldezaurretikoHTMLformatua"/>
    <w:uiPriority w:val="99"/>
    <w:qFormat/>
    <w:rsid w:val="00F1787B"/>
    <w:rPr>
      <w:rFonts w:ascii="Courier New" w:hAnsi="Courier New" w:cs="Courier New"/>
      <w:lang w:bidi="ar-SA"/>
    </w:rPr>
  </w:style>
  <w:style w:type="character" w:customStyle="1" w:styleId="y2iqfc">
    <w:name w:val="y2iqfc"/>
    <w:basedOn w:val="Paragrafoarenletra-tipolehenetsia"/>
    <w:qFormat/>
    <w:rsid w:val="00F1787B"/>
  </w:style>
  <w:style w:type="character" w:customStyle="1" w:styleId="Mencinsinresolver1">
    <w:name w:val="Mención sin resolver1"/>
    <w:basedOn w:val="Paragrafoarenletra-tipolehenetsia"/>
    <w:uiPriority w:val="99"/>
    <w:semiHidden/>
    <w:unhideWhenUsed/>
    <w:qFormat/>
    <w:rsid w:val="00C32190"/>
    <w:rPr>
      <w:color w:val="605E5C"/>
      <w:shd w:val="clear" w:color="auto" w:fill="E1DFDD"/>
    </w:rPr>
  </w:style>
  <w:style w:type="paragraph" w:customStyle="1" w:styleId="Ttulo1">
    <w:name w:val="Título1"/>
    <w:basedOn w:val="Normala"/>
    <w:next w:val="Gorputz-testua"/>
    <w:qFormat/>
    <w:pPr>
      <w:keepNext/>
      <w:spacing w:before="240" w:after="120"/>
    </w:pPr>
    <w:rPr>
      <w:rFonts w:ascii="Liberation Sans" w:eastAsia="Noto Sans CJK SC" w:hAnsi="Liberation Sans" w:cs="Lohit Devanagari"/>
      <w:sz w:val="28"/>
      <w:szCs w:val="28"/>
    </w:rPr>
  </w:style>
  <w:style w:type="paragraph" w:styleId="Gorputz-testua">
    <w:name w:val="Body Text"/>
    <w:basedOn w:val="Normala"/>
    <w:pPr>
      <w:spacing w:after="140" w:line="276" w:lineRule="auto"/>
    </w:pPr>
  </w:style>
  <w:style w:type="paragraph" w:styleId="Zerrenda">
    <w:name w:val="List"/>
    <w:basedOn w:val="Gorputz-testua"/>
    <w:rPr>
      <w:rFonts w:cs="Lohit Devanagari"/>
    </w:rPr>
  </w:style>
  <w:style w:type="paragraph" w:styleId="Epigrafea">
    <w:name w:val="caption"/>
    <w:basedOn w:val="Normala"/>
    <w:qFormat/>
    <w:pPr>
      <w:suppressLineNumbers/>
      <w:spacing w:before="120" w:after="120"/>
    </w:pPr>
    <w:rPr>
      <w:rFonts w:cs="Lohit Devanagari"/>
      <w:i/>
      <w:iCs/>
      <w:sz w:val="24"/>
      <w:szCs w:val="24"/>
    </w:rPr>
  </w:style>
  <w:style w:type="paragraph" w:customStyle="1" w:styleId="ndice">
    <w:name w:val="Índice"/>
    <w:basedOn w:val="Normala"/>
    <w:qFormat/>
    <w:pPr>
      <w:suppressLineNumbers/>
    </w:pPr>
    <w:rPr>
      <w:rFonts w:cs="Lohit Devanagari"/>
    </w:rPr>
  </w:style>
  <w:style w:type="paragraph" w:customStyle="1" w:styleId="Cabeceraypie">
    <w:name w:val="Cabecera y pie"/>
    <w:basedOn w:val="Normala"/>
    <w:qFormat/>
  </w:style>
  <w:style w:type="paragraph" w:styleId="Goiburua">
    <w:name w:val="header"/>
    <w:basedOn w:val="Normala"/>
    <w:rsid w:val="003F1393"/>
    <w:pPr>
      <w:tabs>
        <w:tab w:val="center" w:pos="4252"/>
        <w:tab w:val="right" w:pos="8504"/>
      </w:tabs>
    </w:pPr>
    <w:rPr>
      <w:sz w:val="18"/>
    </w:rPr>
  </w:style>
  <w:style w:type="paragraph" w:styleId="Orri-oina">
    <w:name w:val="footer"/>
    <w:basedOn w:val="Normala"/>
    <w:rsid w:val="003F1393"/>
    <w:pPr>
      <w:tabs>
        <w:tab w:val="center" w:pos="4252"/>
        <w:tab w:val="right" w:pos="8504"/>
      </w:tabs>
    </w:pPr>
    <w:rPr>
      <w:sz w:val="18"/>
    </w:rPr>
  </w:style>
  <w:style w:type="paragraph" w:styleId="Bunbuiloarentestua">
    <w:name w:val="Balloon Text"/>
    <w:basedOn w:val="Normala"/>
    <w:semiHidden/>
    <w:qFormat/>
    <w:rsid w:val="00DE01AB"/>
    <w:rPr>
      <w:rFonts w:ascii="Tahoma" w:hAnsi="Tahoma" w:cs="Tahoma"/>
      <w:sz w:val="16"/>
      <w:szCs w:val="16"/>
    </w:rPr>
  </w:style>
  <w:style w:type="paragraph" w:styleId="Zerrenda-paragrafoa">
    <w:name w:val="List Paragraph"/>
    <w:basedOn w:val="Normala"/>
    <w:uiPriority w:val="34"/>
    <w:qFormat/>
    <w:rsid w:val="00402494"/>
    <w:pPr>
      <w:ind w:left="720"/>
      <w:contextualSpacing/>
    </w:pPr>
  </w:style>
  <w:style w:type="paragraph" w:styleId="Normalaweb">
    <w:name w:val="Normal (Web)"/>
    <w:basedOn w:val="Normala"/>
    <w:uiPriority w:val="99"/>
    <w:semiHidden/>
    <w:unhideWhenUsed/>
    <w:qFormat/>
    <w:rsid w:val="00C568EB"/>
    <w:pPr>
      <w:spacing w:beforeAutospacing="1" w:afterAutospacing="1"/>
    </w:pPr>
    <w:rPr>
      <w:rFonts w:ascii="Times New Roman" w:hAnsi="Times New Roman"/>
      <w:sz w:val="24"/>
      <w:szCs w:val="24"/>
    </w:rPr>
  </w:style>
  <w:style w:type="paragraph" w:styleId="Iruzkinarentestua">
    <w:name w:val="annotation text"/>
    <w:basedOn w:val="Normala"/>
    <w:link w:val="IruzkinarentestuaKar"/>
    <w:unhideWhenUsed/>
    <w:qFormat/>
    <w:rsid w:val="00C568EB"/>
    <w:rPr>
      <w:sz w:val="20"/>
    </w:rPr>
  </w:style>
  <w:style w:type="paragraph" w:styleId="Iruzkinarengaia">
    <w:name w:val="annotation subject"/>
    <w:basedOn w:val="Iruzkinarentestua"/>
    <w:next w:val="Iruzkinarentestua"/>
    <w:link w:val="IruzkinarengaiaKar"/>
    <w:semiHidden/>
    <w:unhideWhenUsed/>
    <w:qFormat/>
    <w:rsid w:val="00C568EB"/>
    <w:rPr>
      <w:b/>
      <w:bCs/>
    </w:rPr>
  </w:style>
  <w:style w:type="paragraph" w:styleId="AldezaurretikoHTMLformatua">
    <w:name w:val="HTML Preformatted"/>
    <w:basedOn w:val="Normala"/>
    <w:link w:val="AldezaurretikoHTMLformatuaKar"/>
    <w:uiPriority w:val="99"/>
    <w:unhideWhenUsed/>
    <w:qFormat/>
    <w:rsid w:val="00F178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rPr>
  </w:style>
  <w:style w:type="paragraph" w:customStyle="1" w:styleId="Texto">
    <w:name w:val="Texto"/>
    <w:autoRedefine/>
    <w:qFormat/>
    <w:rsid w:val="007E3256"/>
    <w:pPr>
      <w:tabs>
        <w:tab w:val="left" w:pos="2325"/>
        <w:tab w:val="left" w:pos="4650"/>
      </w:tabs>
      <w:spacing w:before="120" w:after="300" w:line="254" w:lineRule="auto"/>
      <w:jc w:val="both"/>
    </w:pPr>
    <w:rPr>
      <w:rFonts w:asciiTheme="minorHAnsi" w:hAnsiTheme="minorHAnsi"/>
      <w:bCs/>
      <w:kern w:val="2"/>
      <w:sz w:val="24"/>
      <w:szCs w:val="24"/>
      <w:lang w:val="eu-ES" w:bidi="ar-SA"/>
    </w:rPr>
  </w:style>
  <w:style w:type="table" w:styleId="Saretaduntaula">
    <w:name w:val="Table Grid"/>
    <w:basedOn w:val="Taulanormala"/>
    <w:rsid w:val="00257F0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2saretaertaina-1enfasia">
    <w:name w:val="Medium Grid 2 Accent 1"/>
    <w:basedOn w:val="Taulanormala"/>
    <w:uiPriority w:val="68"/>
    <w:rsid w:val="00B6251D"/>
    <w:rPr>
      <w:color w:val="000000"/>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styleId="2saretaertaina">
    <w:name w:val="Medium Grid 2"/>
    <w:basedOn w:val="Taulanormala"/>
    <w:uiPriority w:val="68"/>
    <w:rsid w:val="00B6251D"/>
    <w:rPr>
      <w:color w:val="000000"/>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styleId="1itzalduraertaina">
    <w:name w:val="Medium Shading 1"/>
    <w:basedOn w:val="Taulanormala"/>
    <w:uiPriority w:val="63"/>
    <w:rsid w:val="00634941"/>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styleId="Zerrendaargia">
    <w:name w:val="Light List"/>
    <w:basedOn w:val="Taulanormala"/>
    <w:uiPriority w:val="61"/>
    <w:rsid w:val="00D06887"/>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paragraph" w:customStyle="1" w:styleId="xmsolistparagraph">
    <w:name w:val="x_msolistparagraph"/>
    <w:basedOn w:val="Normala"/>
    <w:rsid w:val="00B81842"/>
    <w:pPr>
      <w:suppressAutoHyphens w:val="0"/>
      <w:ind w:left="720"/>
    </w:pPr>
    <w:rPr>
      <w:rFonts w:ascii="Calibri" w:eastAsiaTheme="minorHAnsi" w:hAnsi="Calibri" w:cs="Calibri"/>
      <w:szCs w:val="22"/>
    </w:rPr>
  </w:style>
  <w:style w:type="paragraph" w:customStyle="1" w:styleId="norma06">
    <w:name w:val="norma06"/>
    <w:basedOn w:val="Normala"/>
    <w:rsid w:val="00296C33"/>
    <w:pPr>
      <w:suppressAutoHyphens w:val="0"/>
      <w:spacing w:before="100" w:beforeAutospacing="1" w:after="100" w:afterAutospacing="1"/>
      <w:jc w:val="both"/>
    </w:pPr>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004241">
      <w:bodyDiv w:val="1"/>
      <w:marLeft w:val="0"/>
      <w:marRight w:val="0"/>
      <w:marTop w:val="0"/>
      <w:marBottom w:val="0"/>
      <w:divBdr>
        <w:top w:val="none" w:sz="0" w:space="0" w:color="auto"/>
        <w:left w:val="none" w:sz="0" w:space="0" w:color="auto"/>
        <w:bottom w:val="none" w:sz="0" w:space="0" w:color="auto"/>
        <w:right w:val="none" w:sz="0" w:space="0" w:color="auto"/>
      </w:divBdr>
    </w:div>
    <w:div w:id="180169757">
      <w:bodyDiv w:val="1"/>
      <w:marLeft w:val="0"/>
      <w:marRight w:val="0"/>
      <w:marTop w:val="0"/>
      <w:marBottom w:val="0"/>
      <w:divBdr>
        <w:top w:val="none" w:sz="0" w:space="0" w:color="auto"/>
        <w:left w:val="none" w:sz="0" w:space="0" w:color="auto"/>
        <w:bottom w:val="none" w:sz="0" w:space="0" w:color="auto"/>
        <w:right w:val="none" w:sz="0" w:space="0" w:color="auto"/>
      </w:divBdr>
    </w:div>
    <w:div w:id="448209911">
      <w:bodyDiv w:val="1"/>
      <w:marLeft w:val="0"/>
      <w:marRight w:val="0"/>
      <w:marTop w:val="0"/>
      <w:marBottom w:val="0"/>
      <w:divBdr>
        <w:top w:val="none" w:sz="0" w:space="0" w:color="auto"/>
        <w:left w:val="none" w:sz="0" w:space="0" w:color="auto"/>
        <w:bottom w:val="none" w:sz="0" w:space="0" w:color="auto"/>
        <w:right w:val="none" w:sz="0" w:space="0" w:color="auto"/>
      </w:divBdr>
    </w:div>
    <w:div w:id="685249717">
      <w:bodyDiv w:val="1"/>
      <w:marLeft w:val="0"/>
      <w:marRight w:val="0"/>
      <w:marTop w:val="0"/>
      <w:marBottom w:val="0"/>
      <w:divBdr>
        <w:top w:val="none" w:sz="0" w:space="0" w:color="auto"/>
        <w:left w:val="none" w:sz="0" w:space="0" w:color="auto"/>
        <w:bottom w:val="none" w:sz="0" w:space="0" w:color="auto"/>
        <w:right w:val="none" w:sz="0" w:space="0" w:color="auto"/>
      </w:divBdr>
    </w:div>
    <w:div w:id="847981015">
      <w:bodyDiv w:val="1"/>
      <w:marLeft w:val="0"/>
      <w:marRight w:val="0"/>
      <w:marTop w:val="0"/>
      <w:marBottom w:val="0"/>
      <w:divBdr>
        <w:top w:val="none" w:sz="0" w:space="0" w:color="auto"/>
        <w:left w:val="none" w:sz="0" w:space="0" w:color="auto"/>
        <w:bottom w:val="none" w:sz="0" w:space="0" w:color="auto"/>
        <w:right w:val="none" w:sz="0" w:space="0" w:color="auto"/>
      </w:divBdr>
    </w:div>
    <w:div w:id="896815655">
      <w:bodyDiv w:val="1"/>
      <w:marLeft w:val="0"/>
      <w:marRight w:val="0"/>
      <w:marTop w:val="0"/>
      <w:marBottom w:val="0"/>
      <w:divBdr>
        <w:top w:val="none" w:sz="0" w:space="0" w:color="auto"/>
        <w:left w:val="none" w:sz="0" w:space="0" w:color="auto"/>
        <w:bottom w:val="none" w:sz="0" w:space="0" w:color="auto"/>
        <w:right w:val="none" w:sz="0" w:space="0" w:color="auto"/>
      </w:divBdr>
    </w:div>
    <w:div w:id="1097676902">
      <w:bodyDiv w:val="1"/>
      <w:marLeft w:val="0"/>
      <w:marRight w:val="0"/>
      <w:marTop w:val="0"/>
      <w:marBottom w:val="0"/>
      <w:divBdr>
        <w:top w:val="none" w:sz="0" w:space="0" w:color="auto"/>
        <w:left w:val="none" w:sz="0" w:space="0" w:color="auto"/>
        <w:bottom w:val="none" w:sz="0" w:space="0" w:color="auto"/>
        <w:right w:val="none" w:sz="0" w:space="0" w:color="auto"/>
      </w:divBdr>
    </w:div>
    <w:div w:id="1112625837">
      <w:bodyDiv w:val="1"/>
      <w:marLeft w:val="0"/>
      <w:marRight w:val="0"/>
      <w:marTop w:val="0"/>
      <w:marBottom w:val="0"/>
      <w:divBdr>
        <w:top w:val="none" w:sz="0" w:space="0" w:color="auto"/>
        <w:left w:val="none" w:sz="0" w:space="0" w:color="auto"/>
        <w:bottom w:val="none" w:sz="0" w:space="0" w:color="auto"/>
        <w:right w:val="none" w:sz="0" w:space="0" w:color="auto"/>
      </w:divBdr>
    </w:div>
    <w:div w:id="1230917625">
      <w:bodyDiv w:val="1"/>
      <w:marLeft w:val="0"/>
      <w:marRight w:val="0"/>
      <w:marTop w:val="0"/>
      <w:marBottom w:val="0"/>
      <w:divBdr>
        <w:top w:val="none" w:sz="0" w:space="0" w:color="auto"/>
        <w:left w:val="none" w:sz="0" w:space="0" w:color="auto"/>
        <w:bottom w:val="none" w:sz="0" w:space="0" w:color="auto"/>
        <w:right w:val="none" w:sz="0" w:space="0" w:color="auto"/>
      </w:divBdr>
    </w:div>
    <w:div w:id="1251159131">
      <w:bodyDiv w:val="1"/>
      <w:marLeft w:val="0"/>
      <w:marRight w:val="0"/>
      <w:marTop w:val="0"/>
      <w:marBottom w:val="0"/>
      <w:divBdr>
        <w:top w:val="none" w:sz="0" w:space="0" w:color="auto"/>
        <w:left w:val="none" w:sz="0" w:space="0" w:color="auto"/>
        <w:bottom w:val="none" w:sz="0" w:space="0" w:color="auto"/>
        <w:right w:val="none" w:sz="0" w:space="0" w:color="auto"/>
      </w:divBdr>
    </w:div>
    <w:div w:id="1497767422">
      <w:bodyDiv w:val="1"/>
      <w:marLeft w:val="0"/>
      <w:marRight w:val="0"/>
      <w:marTop w:val="0"/>
      <w:marBottom w:val="0"/>
      <w:divBdr>
        <w:top w:val="none" w:sz="0" w:space="0" w:color="auto"/>
        <w:left w:val="none" w:sz="0" w:space="0" w:color="auto"/>
        <w:bottom w:val="none" w:sz="0" w:space="0" w:color="auto"/>
        <w:right w:val="none" w:sz="0" w:space="0" w:color="auto"/>
      </w:divBdr>
    </w:div>
    <w:div w:id="153007208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www.gipuzkoa.eu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gai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BEC339-97EA-4B02-AB86-73A7380D25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Pages>
  <Words>544</Words>
  <Characters>2994</Characters>
  <Application>Microsoft Office Word</Application>
  <DocSecurity>0</DocSecurity>
  <Lines>24</Lines>
  <Paragraphs>7</Paragraphs>
  <ScaleCrop>false</ScaleCrop>
  <HeadingPairs>
    <vt:vector size="4" baseType="variant">
      <vt:variant>
        <vt:lpstr>Titulua</vt:lpstr>
      </vt:variant>
      <vt:variant>
        <vt:i4>1</vt:i4>
      </vt:variant>
      <vt:variant>
        <vt:lpstr>Título</vt:lpstr>
      </vt:variant>
      <vt:variant>
        <vt:i4>1</vt:i4>
      </vt:variant>
    </vt:vector>
  </HeadingPairs>
  <TitlesOfParts>
    <vt:vector size="2" baseType="lpstr">
      <vt:lpstr>EL NUEVO GOBIERNO FORAL BASARÁ SU GESTIÓN EN LA EJEMPLARIDAD, LA INTEGRIDAD Y LA TRANSPARENCIA</vt:lpstr>
      <vt:lpstr>EL NUEVO GOBIERNO FORAL BASARÁ SU GESTIÓN EN LA EJEMPLARIDAD, LA INTEGRIDAD Y LA TRANSPARENCIA</vt:lpstr>
    </vt:vector>
  </TitlesOfParts>
  <Company>Gipuzkoako Foru Aldundia</Company>
  <LinksUpToDate>false</LinksUpToDate>
  <CharactersWithSpaces>3531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 NUEVO GOBIERNO FORAL BASARÁ SU GESTIÓN EN LA EJEMPLARIDAD, LA INTEGRIDAD Y LA TRANSPARENCIA</dc:title>
  <dc:subject/>
  <dc:creator>IZFE</dc:creator>
  <dc:description/>
  <cp:lastModifiedBy>CEBERIO ZUBELZU, ESTIBALIZ</cp:lastModifiedBy>
  <cp:revision>3</cp:revision>
  <cp:lastPrinted>2025-03-24T08:33:00Z</cp:lastPrinted>
  <dcterms:created xsi:type="dcterms:W3CDTF">2025-05-07T09:28:00Z</dcterms:created>
  <dcterms:modified xsi:type="dcterms:W3CDTF">2025-05-07T09:41:00Z</dcterms:modified>
  <dc:language>es-ES</dc:language>
</cp:coreProperties>
</file>